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66" w:rsidRDefault="001D1E66" w:rsidP="001D1E66">
      <w:pPr>
        <w:pStyle w:val="Default"/>
        <w:spacing w:line="360" w:lineRule="auto"/>
        <w:ind w:left="0"/>
        <w:rPr>
          <w:rFonts w:ascii="Times New Roman" w:hAnsi="Times New Roman" w:cs="Times New Roman"/>
          <w:b/>
          <w:bCs/>
          <w:sz w:val="22"/>
          <w:szCs w:val="22"/>
        </w:rPr>
      </w:pPr>
      <w:r w:rsidRPr="001D1E66">
        <w:rPr>
          <w:rFonts w:ascii="Times New Roman" w:hAnsi="Times New Roman" w:cs="Times New Roman"/>
          <w:b/>
          <w:sz w:val="22"/>
          <w:szCs w:val="22"/>
        </w:rPr>
        <w:t xml:space="preserve">Contribution to the </w:t>
      </w:r>
      <w:r w:rsidRPr="001D1E66">
        <w:rPr>
          <w:rFonts w:ascii="Times New Roman" w:hAnsi="Times New Roman" w:cs="Times New Roman"/>
          <w:sz w:val="22"/>
          <w:szCs w:val="22"/>
        </w:rPr>
        <w:t>‘</w:t>
      </w:r>
      <w:r w:rsidRPr="001D1E66">
        <w:rPr>
          <w:rFonts w:ascii="Times New Roman" w:hAnsi="Times New Roman" w:cs="Times New Roman"/>
          <w:b/>
          <w:bCs/>
          <w:sz w:val="22"/>
          <w:szCs w:val="22"/>
        </w:rPr>
        <w:t>Consultation on reform of police funding arrangements in England and Wales’</w:t>
      </w:r>
    </w:p>
    <w:p w:rsidR="001D1E66" w:rsidRPr="001D1E66" w:rsidRDefault="001D1E66" w:rsidP="001D1E66">
      <w:pPr>
        <w:pStyle w:val="Default"/>
        <w:spacing w:line="360" w:lineRule="auto"/>
        <w:ind w:left="0"/>
        <w:rPr>
          <w:rFonts w:ascii="Times New Roman" w:hAnsi="Times New Roman" w:cs="Times New Roman"/>
          <w:b/>
          <w:sz w:val="22"/>
          <w:szCs w:val="22"/>
        </w:rPr>
      </w:pPr>
    </w:p>
    <w:p w:rsidR="001D1E66" w:rsidRPr="001D1E66" w:rsidRDefault="001D1E66" w:rsidP="001D1E66">
      <w:pPr>
        <w:pStyle w:val="Default"/>
        <w:spacing w:line="360" w:lineRule="auto"/>
        <w:ind w:left="0"/>
        <w:rPr>
          <w:rFonts w:ascii="Times New Roman" w:hAnsi="Times New Roman" w:cs="Times New Roman"/>
          <w:sz w:val="22"/>
          <w:szCs w:val="20"/>
        </w:rPr>
      </w:pPr>
      <w:r w:rsidRPr="001D1E66">
        <w:rPr>
          <w:rFonts w:ascii="Times New Roman" w:hAnsi="Times New Roman" w:cs="Times New Roman"/>
          <w:i/>
          <w:sz w:val="22"/>
          <w:szCs w:val="20"/>
        </w:rPr>
        <w:t>Para. 1</w:t>
      </w:r>
      <w:r w:rsidRPr="001D1E66">
        <w:rPr>
          <w:rFonts w:ascii="Times New Roman" w:hAnsi="Times New Roman" w:cs="Times New Roman"/>
          <w:sz w:val="22"/>
          <w:szCs w:val="20"/>
        </w:rPr>
        <w:t>:  I am responding as a UCL professor of statistics and former head of its Department of Statistical Science.  I ‘strongly agree’ for Question 1 (</w:t>
      </w:r>
      <w:r w:rsidRPr="001D1E66">
        <w:rPr>
          <w:rFonts w:ascii="Times New Roman" w:hAnsi="Times New Roman" w:cs="Times New Roman"/>
          <w:i/>
          <w:sz w:val="22"/>
          <w:szCs w:val="20"/>
        </w:rPr>
        <w:t>To what extent do you agree or disagree that current funding arrangements for the police in England and Wales need to be reformed?</w:t>
      </w:r>
      <w:r w:rsidRPr="001D1E66">
        <w:rPr>
          <w:rFonts w:ascii="Times New Roman" w:hAnsi="Times New Roman" w:cs="Times New Roman"/>
          <w:sz w:val="22"/>
          <w:szCs w:val="20"/>
        </w:rPr>
        <w:t>)</w:t>
      </w:r>
      <w:r w:rsidRPr="001D1E66">
        <w:rPr>
          <w:rFonts w:ascii="Times New Roman" w:hAnsi="Times New Roman" w:cs="Times New Roman"/>
          <w:sz w:val="22"/>
          <w:szCs w:val="23"/>
        </w:rPr>
        <w:t xml:space="preserve"> </w:t>
      </w:r>
      <w:r w:rsidRPr="001D1E66">
        <w:rPr>
          <w:rFonts w:ascii="Times New Roman" w:hAnsi="Times New Roman" w:cs="Times New Roman"/>
          <w:sz w:val="22"/>
          <w:szCs w:val="20"/>
        </w:rPr>
        <w:t>and ‘strongly disagree’ for Question 9 (</w:t>
      </w:r>
      <w:r w:rsidRPr="001D1E66">
        <w:rPr>
          <w:rFonts w:ascii="Times New Roman" w:hAnsi="Times New Roman" w:cs="Times New Roman"/>
          <w:i/>
          <w:sz w:val="22"/>
          <w:szCs w:val="20"/>
        </w:rPr>
        <w:t>To what extent do you agree or disagree with the methodology behind a simplified model?</w:t>
      </w:r>
      <w:r w:rsidRPr="001D1E66">
        <w:rPr>
          <w:rFonts w:ascii="Times New Roman" w:hAnsi="Times New Roman" w:cs="Times New Roman"/>
          <w:sz w:val="22"/>
          <w:szCs w:val="20"/>
        </w:rPr>
        <w:t>).  I have no expertise that might entitle me to respond to any other question—except Question 4 (</w:t>
      </w:r>
      <w:r w:rsidRPr="001D1E66">
        <w:rPr>
          <w:rFonts w:ascii="Times New Roman" w:hAnsi="Times New Roman" w:cs="Times New Roman"/>
          <w:i/>
          <w:sz w:val="22"/>
          <w:szCs w:val="20"/>
        </w:rPr>
        <w:t>What other principles for a good funding model, if any, should be considered?</w:t>
      </w:r>
      <w:r w:rsidRPr="001D1E66">
        <w:rPr>
          <w:rFonts w:ascii="Times New Roman" w:hAnsi="Times New Roman" w:cs="Times New Roman"/>
          <w:sz w:val="22"/>
          <w:szCs w:val="20"/>
        </w:rPr>
        <w:t>)</w:t>
      </w:r>
      <w:r w:rsidRPr="001D1E66">
        <w:rPr>
          <w:rFonts w:ascii="Times New Roman" w:hAnsi="Times New Roman" w:cs="Times New Roman"/>
          <w:sz w:val="22"/>
          <w:szCs w:val="23"/>
        </w:rPr>
        <w:t xml:space="preserve"> </w:t>
      </w:r>
      <w:r w:rsidRPr="001D1E66">
        <w:rPr>
          <w:rFonts w:ascii="Times New Roman" w:hAnsi="Times New Roman" w:cs="Times New Roman"/>
          <w:sz w:val="22"/>
          <w:szCs w:val="20"/>
        </w:rPr>
        <w:t xml:space="preserve">where </w:t>
      </w:r>
      <w:r w:rsidRPr="001D1E66">
        <w:rPr>
          <w:rFonts w:ascii="Times New Roman" w:hAnsi="Times New Roman" w:cs="Times New Roman"/>
          <w:b/>
          <w:sz w:val="22"/>
          <w:szCs w:val="20"/>
        </w:rPr>
        <w:t xml:space="preserve">I would like to see more emphasis on logic as the key element in any technical argument </w:t>
      </w:r>
      <w:r w:rsidRPr="001D1E66">
        <w:rPr>
          <w:rFonts w:ascii="Times New Roman" w:hAnsi="Times New Roman" w:cs="Times New Roman"/>
          <w:sz w:val="22"/>
          <w:szCs w:val="20"/>
        </w:rPr>
        <w:t xml:space="preserve">(as I hope the following critique of the proposed ‘simplification’ makes clear).  </w:t>
      </w:r>
    </w:p>
    <w:p w:rsidR="001D1E66" w:rsidRDefault="001D1E66" w:rsidP="001D1E66">
      <w:pPr>
        <w:spacing w:line="360" w:lineRule="auto"/>
        <w:ind w:left="0"/>
        <w:rPr>
          <w:rFonts w:ascii="Times New Roman" w:hAnsi="Times New Roman" w:cs="Times New Roman"/>
          <w:i/>
          <w:szCs w:val="20"/>
        </w:rPr>
      </w:pPr>
    </w:p>
    <w:p w:rsidR="001D1E66" w:rsidRPr="001D1E66" w:rsidRDefault="001D1E66" w:rsidP="001D1E66">
      <w:pPr>
        <w:spacing w:line="360" w:lineRule="auto"/>
        <w:ind w:left="0"/>
        <w:rPr>
          <w:rFonts w:ascii="Times New Roman" w:hAnsi="Times New Roman" w:cs="Times New Roman"/>
          <w:szCs w:val="20"/>
        </w:rPr>
      </w:pPr>
      <w:r w:rsidRPr="001D1E66">
        <w:rPr>
          <w:rFonts w:ascii="Times New Roman" w:hAnsi="Times New Roman" w:cs="Times New Roman"/>
          <w:i/>
          <w:szCs w:val="20"/>
        </w:rPr>
        <w:t>Para. 2</w:t>
      </w:r>
      <w:r w:rsidRPr="001D1E66">
        <w:rPr>
          <w:rFonts w:ascii="Times New Roman" w:hAnsi="Times New Roman" w:cs="Times New Roman"/>
          <w:szCs w:val="20"/>
        </w:rPr>
        <w:t>:</w:t>
      </w:r>
      <w:r w:rsidRPr="001D1E66">
        <w:rPr>
          <w:rFonts w:ascii="Times New Roman" w:hAnsi="Times New Roman" w:cs="Times New Roman"/>
          <w:i/>
          <w:szCs w:val="20"/>
        </w:rPr>
        <w:t xml:space="preserve"> </w:t>
      </w:r>
      <w:r w:rsidRPr="001D1E66">
        <w:rPr>
          <w:rFonts w:ascii="Times New Roman" w:hAnsi="Times New Roman" w:cs="Times New Roman"/>
          <w:szCs w:val="20"/>
        </w:rPr>
        <w:t xml:space="preserve"> In 2000, I was asked by the Research Development &amp;Statistics section of the Home Office to advise on a by-then well-advanced idea for measuring individual police force efficiency.  The advice led to the rejection of the </w:t>
      </w:r>
      <w:proofErr w:type="gramStart"/>
      <w:r w:rsidRPr="001D1E66">
        <w:rPr>
          <w:rFonts w:ascii="Times New Roman" w:hAnsi="Times New Roman" w:cs="Times New Roman"/>
          <w:szCs w:val="20"/>
        </w:rPr>
        <w:t>prematurely-published</w:t>
      </w:r>
      <w:proofErr w:type="gramEnd"/>
      <w:r w:rsidRPr="001D1E66">
        <w:rPr>
          <w:rFonts w:ascii="Times New Roman" w:hAnsi="Times New Roman" w:cs="Times New Roman"/>
          <w:szCs w:val="20"/>
        </w:rPr>
        <w:t xml:space="preserve"> </w:t>
      </w:r>
      <w:proofErr w:type="spellStart"/>
      <w:r w:rsidRPr="001D1E66">
        <w:rPr>
          <w:rFonts w:ascii="Times New Roman" w:hAnsi="Times New Roman" w:cs="Times New Roman"/>
          <w:szCs w:val="20"/>
        </w:rPr>
        <w:t>Spottiswoode</w:t>
      </w:r>
      <w:proofErr w:type="spellEnd"/>
      <w:r w:rsidRPr="001D1E66">
        <w:rPr>
          <w:rFonts w:ascii="Times New Roman" w:hAnsi="Times New Roman" w:cs="Times New Roman"/>
          <w:szCs w:val="20"/>
        </w:rPr>
        <w:t xml:space="preserve"> Report, and then to a publication</w:t>
      </w:r>
      <w:r w:rsidRPr="001D1E66">
        <w:rPr>
          <w:rFonts w:ascii="Times New Roman" w:hAnsi="Times New Roman" w:cs="Times New Roman"/>
          <w:szCs w:val="20"/>
          <w:vertAlign w:val="superscript"/>
        </w:rPr>
        <w:t xml:space="preserve">1 </w:t>
      </w:r>
      <w:r w:rsidRPr="001D1E66">
        <w:rPr>
          <w:rFonts w:ascii="Times New Roman" w:hAnsi="Times New Roman" w:cs="Times New Roman"/>
          <w:szCs w:val="20"/>
        </w:rPr>
        <w:t xml:space="preserve">in the methodology journal of the Royal Statistical Society (RSS).  A readable account of the whole engagement fills four pages of a </w:t>
      </w:r>
      <w:proofErr w:type="spellStart"/>
      <w:r w:rsidRPr="001D1E66">
        <w:rPr>
          <w:rFonts w:ascii="Times New Roman" w:hAnsi="Times New Roman" w:cs="Times New Roman"/>
          <w:szCs w:val="20"/>
        </w:rPr>
        <w:t>Civitas</w:t>
      </w:r>
      <w:proofErr w:type="spellEnd"/>
      <w:r w:rsidRPr="001D1E66">
        <w:rPr>
          <w:rFonts w:ascii="Times New Roman" w:hAnsi="Times New Roman" w:cs="Times New Roman"/>
          <w:szCs w:val="20"/>
        </w:rPr>
        <w:t xml:space="preserve"> book</w:t>
      </w:r>
      <w:r w:rsidRPr="001D1E66">
        <w:rPr>
          <w:rFonts w:ascii="Times New Roman" w:hAnsi="Times New Roman" w:cs="Times New Roman"/>
          <w:szCs w:val="20"/>
          <w:vertAlign w:val="superscript"/>
        </w:rPr>
        <w:t>2</w:t>
      </w:r>
      <w:r w:rsidRPr="001D1E66">
        <w:rPr>
          <w:rFonts w:ascii="Times New Roman" w:hAnsi="Times New Roman" w:cs="Times New Roman"/>
          <w:szCs w:val="20"/>
        </w:rPr>
        <w:t xml:space="preserve">.   I consider that both publications are relevant to the reform now being proposed.  (There may be something in the RDS archive of my critical analysis of the Police Allocation Formula, whose defects were tangential to, and somewhat less glaring than, those of the </w:t>
      </w:r>
      <w:proofErr w:type="spellStart"/>
      <w:r w:rsidRPr="001D1E66">
        <w:rPr>
          <w:rFonts w:ascii="Times New Roman" w:hAnsi="Times New Roman" w:cs="Times New Roman"/>
          <w:szCs w:val="20"/>
        </w:rPr>
        <w:t>Spottiswoode</w:t>
      </w:r>
      <w:proofErr w:type="spellEnd"/>
      <w:r w:rsidRPr="001D1E66">
        <w:rPr>
          <w:rFonts w:ascii="Times New Roman" w:hAnsi="Times New Roman" w:cs="Times New Roman"/>
          <w:szCs w:val="20"/>
        </w:rPr>
        <w:t xml:space="preserve"> Report.)</w:t>
      </w:r>
    </w:p>
    <w:p w:rsidR="001D1E66" w:rsidRDefault="001D1E66" w:rsidP="001D1E66">
      <w:pPr>
        <w:spacing w:line="360" w:lineRule="auto"/>
        <w:ind w:left="0"/>
        <w:rPr>
          <w:rFonts w:ascii="Times New Roman" w:hAnsi="Times New Roman" w:cs="Times New Roman"/>
          <w:i/>
          <w:szCs w:val="20"/>
        </w:rPr>
      </w:pPr>
    </w:p>
    <w:p w:rsidR="001D1E66" w:rsidRPr="001D1E66" w:rsidRDefault="001D1E66" w:rsidP="001D1E66">
      <w:pPr>
        <w:spacing w:line="360" w:lineRule="auto"/>
        <w:ind w:left="0"/>
        <w:rPr>
          <w:rFonts w:ascii="Times New Roman" w:hAnsi="Times New Roman" w:cs="Times New Roman"/>
          <w:szCs w:val="20"/>
        </w:rPr>
      </w:pPr>
      <w:r w:rsidRPr="001D1E66">
        <w:rPr>
          <w:rFonts w:ascii="Times New Roman" w:hAnsi="Times New Roman" w:cs="Times New Roman"/>
          <w:i/>
          <w:szCs w:val="20"/>
        </w:rPr>
        <w:t>Para. 3</w:t>
      </w:r>
      <w:r w:rsidRPr="001D1E66">
        <w:rPr>
          <w:rFonts w:ascii="Times New Roman" w:hAnsi="Times New Roman" w:cs="Times New Roman"/>
          <w:szCs w:val="20"/>
        </w:rPr>
        <w:t xml:space="preserve">:   The proposed reform of the Police Allocation Formula relies on sensible application of two statistical procedures—a computerized </w:t>
      </w:r>
      <w:r w:rsidRPr="001D1E66">
        <w:rPr>
          <w:rFonts w:ascii="Times New Roman" w:hAnsi="Times New Roman" w:cs="Times New Roman"/>
          <w:i/>
          <w:szCs w:val="20"/>
        </w:rPr>
        <w:t>variable selection</w:t>
      </w:r>
      <w:r w:rsidRPr="001D1E66">
        <w:rPr>
          <w:rFonts w:ascii="Times New Roman" w:hAnsi="Times New Roman" w:cs="Times New Roman"/>
          <w:szCs w:val="20"/>
        </w:rPr>
        <w:t xml:space="preserve"> (constrained by </w:t>
      </w:r>
      <w:proofErr w:type="spellStart"/>
      <w:r w:rsidRPr="001D1E66">
        <w:rPr>
          <w:rFonts w:ascii="Times New Roman" w:hAnsi="Times New Roman" w:cs="Times New Roman"/>
          <w:szCs w:val="20"/>
        </w:rPr>
        <w:t>L.J.Cronbach’s</w:t>
      </w:r>
      <w:proofErr w:type="spellEnd"/>
      <w:r w:rsidRPr="001D1E66">
        <w:rPr>
          <w:rFonts w:ascii="Times New Roman" w:hAnsi="Times New Roman" w:cs="Times New Roman"/>
          <w:szCs w:val="20"/>
        </w:rPr>
        <w:t xml:space="preserve"> Alpha statistic) and a </w:t>
      </w:r>
      <w:r w:rsidRPr="001D1E66">
        <w:rPr>
          <w:rFonts w:ascii="Times New Roman" w:hAnsi="Times New Roman" w:cs="Times New Roman"/>
          <w:i/>
          <w:szCs w:val="20"/>
        </w:rPr>
        <w:t>linear combination</w:t>
      </w:r>
      <w:r w:rsidRPr="001D1E66">
        <w:rPr>
          <w:rFonts w:ascii="Times New Roman" w:hAnsi="Times New Roman" w:cs="Times New Roman"/>
          <w:szCs w:val="20"/>
        </w:rPr>
        <w:t xml:space="preserve"> of five selected variables (‘indicators’).  The coefficients of the proposed linear combination involve the corresponding ‘weights’ or ‘factor loadings’ from the first component of a computerized Principal Component Analysis (PCA) of the five variables </w:t>
      </w:r>
      <w:r w:rsidRPr="001D1E66">
        <w:rPr>
          <w:rFonts w:ascii="Times New Roman" w:hAnsi="Times New Roman" w:cs="Times New Roman"/>
          <w:i/>
          <w:szCs w:val="20"/>
        </w:rPr>
        <w:t>when these have been</w:t>
      </w:r>
      <w:r w:rsidRPr="001D1E66">
        <w:rPr>
          <w:rFonts w:ascii="Times New Roman" w:hAnsi="Times New Roman" w:cs="Times New Roman"/>
          <w:szCs w:val="20"/>
        </w:rPr>
        <w:t xml:space="preserve"> </w:t>
      </w:r>
      <w:r w:rsidRPr="001D1E66">
        <w:rPr>
          <w:rFonts w:ascii="Times New Roman" w:hAnsi="Times New Roman" w:cs="Times New Roman"/>
          <w:i/>
          <w:szCs w:val="20"/>
        </w:rPr>
        <w:t xml:space="preserve">scaled to have unit standard deviation </w:t>
      </w:r>
      <w:r w:rsidRPr="001D1E66">
        <w:rPr>
          <w:rFonts w:ascii="Times New Roman" w:hAnsi="Times New Roman" w:cs="Times New Roman"/>
          <w:szCs w:val="20"/>
        </w:rPr>
        <w:t xml:space="preserve">(making the PCA one that is on the 5 x 5 correlation matrix).  </w:t>
      </w:r>
      <w:r w:rsidRPr="001D1E66">
        <w:rPr>
          <w:rFonts w:ascii="Times New Roman" w:hAnsi="Times New Roman" w:cs="Times New Roman"/>
          <w:b/>
          <w:szCs w:val="20"/>
        </w:rPr>
        <w:t xml:space="preserve">Without any </w:t>
      </w:r>
      <w:proofErr w:type="gramStart"/>
      <w:r w:rsidRPr="001D1E66">
        <w:rPr>
          <w:rFonts w:ascii="Times New Roman" w:hAnsi="Times New Roman" w:cs="Times New Roman"/>
          <w:b/>
          <w:szCs w:val="20"/>
        </w:rPr>
        <w:t>logical</w:t>
      </w:r>
      <w:proofErr w:type="gramEnd"/>
      <w:r w:rsidRPr="001D1E66">
        <w:rPr>
          <w:rFonts w:ascii="Times New Roman" w:hAnsi="Times New Roman" w:cs="Times New Roman"/>
          <w:b/>
          <w:szCs w:val="20"/>
        </w:rPr>
        <w:t xml:space="preserve"> justification, the weights are taken to be shares of total funding attributable to the corresponding variables.</w:t>
      </w:r>
      <w:r w:rsidRPr="001D1E66">
        <w:rPr>
          <w:rFonts w:ascii="Times New Roman" w:hAnsi="Times New Roman" w:cs="Times New Roman"/>
          <w:szCs w:val="20"/>
        </w:rPr>
        <w:t xml:space="preserve">  With somewhat greater justification, these shares are then, for each variable, allocated to individual forces in proportion to the force values of that variable, when each variable has been </w:t>
      </w:r>
      <w:r w:rsidRPr="001D1E66">
        <w:rPr>
          <w:rFonts w:ascii="Times New Roman" w:hAnsi="Times New Roman" w:cs="Times New Roman"/>
          <w:i/>
          <w:szCs w:val="20"/>
        </w:rPr>
        <w:t xml:space="preserve">scaled to have a sum of unity </w:t>
      </w:r>
      <w:r w:rsidRPr="001D1E66">
        <w:rPr>
          <w:rFonts w:ascii="Times New Roman" w:hAnsi="Times New Roman" w:cs="Times New Roman"/>
          <w:szCs w:val="20"/>
        </w:rPr>
        <w:t xml:space="preserve">over the 43 forces.  The final allocation to an individual force is the sum of the five individual allocations.  That is my clarification of sections 6.11-6.14.   </w:t>
      </w:r>
    </w:p>
    <w:p w:rsidR="001D1E66" w:rsidRPr="001D1E66" w:rsidRDefault="001D1E66" w:rsidP="001D1E66">
      <w:pPr>
        <w:spacing w:line="360" w:lineRule="auto"/>
        <w:ind w:left="0"/>
        <w:rPr>
          <w:rFonts w:ascii="Times New Roman" w:hAnsi="Times New Roman" w:cs="Times New Roman"/>
          <w:szCs w:val="20"/>
        </w:rPr>
      </w:pPr>
      <w:r w:rsidRPr="001D1E66">
        <w:rPr>
          <w:rFonts w:ascii="Times New Roman" w:hAnsi="Times New Roman" w:cs="Times New Roman"/>
          <w:i/>
          <w:szCs w:val="20"/>
        </w:rPr>
        <w:t>Para. 4</w:t>
      </w:r>
      <w:r w:rsidRPr="001D1E66">
        <w:rPr>
          <w:rFonts w:ascii="Times New Roman" w:hAnsi="Times New Roman" w:cs="Times New Roman"/>
          <w:szCs w:val="20"/>
        </w:rPr>
        <w:t>:</w:t>
      </w:r>
      <w:r w:rsidRPr="001D1E66">
        <w:rPr>
          <w:rFonts w:ascii="Times New Roman" w:hAnsi="Times New Roman" w:cs="Times New Roman"/>
          <w:i/>
          <w:szCs w:val="20"/>
        </w:rPr>
        <w:t xml:space="preserve"> </w:t>
      </w:r>
      <w:r w:rsidRPr="001D1E66">
        <w:rPr>
          <w:rFonts w:ascii="Times New Roman" w:hAnsi="Times New Roman" w:cs="Times New Roman"/>
          <w:szCs w:val="20"/>
        </w:rPr>
        <w:t xml:space="preserve"> The last sentence of Annex B explains that on many occasions the </w:t>
      </w:r>
      <w:proofErr w:type="spellStart"/>
      <w:r w:rsidRPr="001D1E66">
        <w:rPr>
          <w:rFonts w:ascii="Times New Roman" w:hAnsi="Times New Roman" w:cs="Times New Roman"/>
          <w:szCs w:val="20"/>
        </w:rPr>
        <w:t>Cronbach</w:t>
      </w:r>
      <w:proofErr w:type="spellEnd"/>
      <w:r w:rsidRPr="001D1E66">
        <w:rPr>
          <w:rFonts w:ascii="Times New Roman" w:hAnsi="Times New Roman" w:cs="Times New Roman"/>
          <w:szCs w:val="20"/>
        </w:rPr>
        <w:t xml:space="preserve"> method </w:t>
      </w:r>
      <w:r w:rsidRPr="001D1E66">
        <w:rPr>
          <w:rFonts w:ascii="Times New Roman" w:hAnsi="Times New Roman" w:cs="Times New Roman"/>
          <w:i/>
          <w:szCs w:val="20"/>
        </w:rPr>
        <w:t xml:space="preserve">resulted in 2 socio-economic indicators being used. </w:t>
      </w:r>
      <w:r w:rsidRPr="001D1E66">
        <w:rPr>
          <w:rFonts w:ascii="Times New Roman" w:hAnsi="Times New Roman" w:cs="Times New Roman"/>
          <w:szCs w:val="20"/>
        </w:rPr>
        <w:t xml:space="preserve"> Did the analysts proceed to the PCA stage on these occasions and inspect the resulting computer output?  If they did, they appear not to have noticed that the weights were always the same at 50% &amp; 50%—reflecting the symmetry of the PCA for a 2 x 2 correlation matrix with only one parameter (a single correlation coefficient).  </w:t>
      </w:r>
      <w:r w:rsidRPr="001D1E66">
        <w:rPr>
          <w:rFonts w:ascii="Times New Roman" w:hAnsi="Times New Roman" w:cs="Times New Roman"/>
          <w:b/>
          <w:szCs w:val="20"/>
        </w:rPr>
        <w:t xml:space="preserve">If they had noticed the constancy, would they have recommended without question that the weights of the five </w:t>
      </w:r>
      <w:proofErr w:type="gramStart"/>
      <w:r w:rsidRPr="001D1E66">
        <w:rPr>
          <w:rFonts w:ascii="Times New Roman" w:hAnsi="Times New Roman" w:cs="Times New Roman"/>
          <w:b/>
          <w:szCs w:val="20"/>
        </w:rPr>
        <w:t>actually-selected</w:t>
      </w:r>
      <w:proofErr w:type="gramEnd"/>
      <w:r w:rsidRPr="001D1E66">
        <w:rPr>
          <w:rFonts w:ascii="Times New Roman" w:hAnsi="Times New Roman" w:cs="Times New Roman"/>
          <w:b/>
          <w:szCs w:val="20"/>
        </w:rPr>
        <w:t xml:space="preserve"> variables be taken as shares of total funding?</w:t>
      </w:r>
      <w:r w:rsidRPr="001D1E66">
        <w:rPr>
          <w:rFonts w:ascii="Times New Roman" w:hAnsi="Times New Roman" w:cs="Times New Roman"/>
          <w:szCs w:val="20"/>
        </w:rPr>
        <w:t xml:space="preserve"> </w:t>
      </w:r>
    </w:p>
    <w:p w:rsidR="001D1E66" w:rsidRDefault="001D1E66" w:rsidP="001D1E66">
      <w:pPr>
        <w:spacing w:line="360" w:lineRule="auto"/>
        <w:ind w:left="0"/>
        <w:rPr>
          <w:rFonts w:ascii="Times New Roman" w:hAnsi="Times New Roman" w:cs="Times New Roman"/>
          <w:i/>
          <w:szCs w:val="20"/>
        </w:rPr>
      </w:pPr>
    </w:p>
    <w:p w:rsidR="001D1E66" w:rsidRPr="001D1E66" w:rsidRDefault="001D1E66" w:rsidP="001D1E66">
      <w:pPr>
        <w:spacing w:line="360" w:lineRule="auto"/>
        <w:ind w:left="0"/>
        <w:rPr>
          <w:rFonts w:ascii="Times New Roman" w:hAnsi="Times New Roman" w:cs="Times New Roman"/>
          <w:szCs w:val="20"/>
        </w:rPr>
      </w:pPr>
      <w:r w:rsidRPr="001D1E66">
        <w:rPr>
          <w:rFonts w:ascii="Times New Roman" w:hAnsi="Times New Roman" w:cs="Times New Roman"/>
          <w:i/>
          <w:szCs w:val="20"/>
        </w:rPr>
        <w:t>Para. 5</w:t>
      </w:r>
      <w:r w:rsidRPr="001D1E66">
        <w:rPr>
          <w:rFonts w:ascii="Times New Roman" w:hAnsi="Times New Roman" w:cs="Times New Roman"/>
          <w:szCs w:val="20"/>
        </w:rPr>
        <w:t>:</w:t>
      </w:r>
      <w:r w:rsidRPr="001D1E66">
        <w:rPr>
          <w:rFonts w:ascii="Times New Roman" w:hAnsi="Times New Roman" w:cs="Times New Roman"/>
          <w:i/>
          <w:szCs w:val="20"/>
        </w:rPr>
        <w:t xml:space="preserve"> </w:t>
      </w:r>
      <w:r w:rsidRPr="001D1E66">
        <w:rPr>
          <w:rFonts w:ascii="Times New Roman" w:hAnsi="Times New Roman" w:cs="Times New Roman"/>
          <w:szCs w:val="20"/>
        </w:rPr>
        <w:t xml:space="preserve">  If the PCA weights are not to be used as suggested, how might they be used?  They come out of the first PCA component, which can be defined as the linear combination of scale-standardized variables that has maximum variance over the 43 forces.  There is a broad but neglected hint in Annex B that it is this very combination that could be used to determine the allocation:</w:t>
      </w:r>
    </w:p>
    <w:p w:rsidR="001D1E66" w:rsidRPr="001D1E66" w:rsidRDefault="001D1E66" w:rsidP="001D1E66">
      <w:pPr>
        <w:spacing w:line="360" w:lineRule="auto"/>
        <w:rPr>
          <w:rFonts w:ascii="Times New Roman" w:hAnsi="Times New Roman" w:cs="Times New Roman"/>
          <w:szCs w:val="20"/>
        </w:rPr>
      </w:pPr>
      <w:r w:rsidRPr="001D1E66">
        <w:rPr>
          <w:rFonts w:ascii="Times New Roman" w:hAnsi="Times New Roman" w:cs="Times New Roman"/>
          <w:i/>
          <w:szCs w:val="20"/>
        </w:rPr>
        <w:t>By reducing a dataset from a group of interrelated variables to a smaller set of factors, a new overarching factor is then able to explain the maximum amount of common variance in a correlation matrix using a smaller set of variables.</w:t>
      </w:r>
      <w:r w:rsidRPr="001D1E66">
        <w:rPr>
          <w:rFonts w:ascii="Times New Roman" w:hAnsi="Times New Roman" w:cs="Times New Roman"/>
          <w:szCs w:val="20"/>
        </w:rPr>
        <w:t xml:space="preserve"> </w:t>
      </w:r>
    </w:p>
    <w:p w:rsidR="001D1E66" w:rsidRPr="001D1E66" w:rsidRDefault="001D1E66" w:rsidP="001D1E66">
      <w:pPr>
        <w:spacing w:line="360" w:lineRule="auto"/>
        <w:ind w:left="0"/>
        <w:rPr>
          <w:rFonts w:ascii="Times New Roman" w:hAnsi="Times New Roman" w:cs="Times New Roman"/>
          <w:szCs w:val="20"/>
        </w:rPr>
      </w:pPr>
      <w:r w:rsidRPr="001D1E66">
        <w:rPr>
          <w:rFonts w:ascii="Times New Roman" w:hAnsi="Times New Roman" w:cs="Times New Roman"/>
          <w:szCs w:val="20"/>
        </w:rPr>
        <w:t xml:space="preserve">The issue comes down to whether the variables are to be scaled by their sum or by their standard deviation.  The difference could have serious consequences for allocations to individual forces.  </w:t>
      </w:r>
      <w:r w:rsidRPr="001D1E66">
        <w:rPr>
          <w:rFonts w:ascii="Times New Roman" w:hAnsi="Times New Roman" w:cs="Times New Roman"/>
          <w:b/>
          <w:szCs w:val="20"/>
        </w:rPr>
        <w:t xml:space="preserve">Unfortunately, there is no strong underlying logic for saying that one of these choices is better than the other. </w:t>
      </w:r>
      <w:r w:rsidRPr="001D1E66">
        <w:rPr>
          <w:rFonts w:ascii="Times New Roman" w:hAnsi="Times New Roman" w:cs="Times New Roman"/>
          <w:szCs w:val="20"/>
        </w:rPr>
        <w:t xml:space="preserve"> Specifically, there is no objective criterion among the worthy principles of Chapter 3, whose optimization would provide theoretical underpinning for either formula.  </w:t>
      </w:r>
    </w:p>
    <w:p w:rsidR="001D1E66" w:rsidRDefault="001D1E66" w:rsidP="001D1E66">
      <w:pPr>
        <w:spacing w:line="360" w:lineRule="auto"/>
        <w:ind w:left="0"/>
        <w:rPr>
          <w:rFonts w:ascii="Times New Roman" w:hAnsi="Times New Roman" w:cs="Times New Roman"/>
          <w:i/>
          <w:szCs w:val="20"/>
        </w:rPr>
      </w:pPr>
    </w:p>
    <w:p w:rsidR="001D1E66" w:rsidRPr="001D1E66" w:rsidRDefault="001D1E66" w:rsidP="001D1E66">
      <w:pPr>
        <w:spacing w:line="360" w:lineRule="auto"/>
        <w:ind w:left="0"/>
        <w:rPr>
          <w:rFonts w:ascii="Times New Roman" w:hAnsi="Times New Roman" w:cs="Times New Roman"/>
          <w:b/>
          <w:szCs w:val="20"/>
        </w:rPr>
      </w:pPr>
      <w:r w:rsidRPr="001D1E66">
        <w:rPr>
          <w:rFonts w:ascii="Times New Roman" w:hAnsi="Times New Roman" w:cs="Times New Roman"/>
          <w:i/>
          <w:szCs w:val="20"/>
        </w:rPr>
        <w:t>Para. 6</w:t>
      </w:r>
      <w:r w:rsidRPr="001D1E66">
        <w:rPr>
          <w:rFonts w:ascii="Times New Roman" w:hAnsi="Times New Roman" w:cs="Times New Roman"/>
          <w:szCs w:val="20"/>
        </w:rPr>
        <w:t xml:space="preserve">:   There is unquestionably a need for administrative solution of the allocation problem and therefore some compromise with principle may be necessary.  In his book </w:t>
      </w:r>
      <w:r w:rsidRPr="001D1E66">
        <w:rPr>
          <w:rFonts w:ascii="Times New Roman" w:hAnsi="Times New Roman" w:cs="Times New Roman"/>
          <w:i/>
          <w:szCs w:val="20"/>
        </w:rPr>
        <w:t>Formula Funding of Public Services</w:t>
      </w:r>
      <w:r w:rsidRPr="001D1E66">
        <w:rPr>
          <w:rFonts w:ascii="Times New Roman" w:hAnsi="Times New Roman" w:cs="Times New Roman"/>
          <w:szCs w:val="20"/>
        </w:rPr>
        <w:t xml:space="preserve">, Professor Peter Smith alluded to such compromise when he claimed that </w:t>
      </w:r>
      <w:r w:rsidRPr="001D1E66">
        <w:rPr>
          <w:rFonts w:ascii="Times New Roman" w:hAnsi="Times New Roman" w:cs="Times New Roman"/>
          <w:i/>
          <w:szCs w:val="20"/>
        </w:rPr>
        <w:t>the procedure for deriving an allocation of funds often has a vital importance over and above any consideration of the outcome of the allocation</w:t>
      </w:r>
      <w:r w:rsidRPr="001D1E66">
        <w:rPr>
          <w:rFonts w:ascii="Times New Roman" w:hAnsi="Times New Roman" w:cs="Times New Roman"/>
          <w:szCs w:val="20"/>
        </w:rPr>
        <w:t xml:space="preserve">.  (That was in </w:t>
      </w:r>
      <w:proofErr w:type="spellStart"/>
      <w:r w:rsidRPr="001D1E66">
        <w:rPr>
          <w:rFonts w:ascii="Times New Roman" w:hAnsi="Times New Roman" w:cs="Times New Roman"/>
          <w:szCs w:val="20"/>
        </w:rPr>
        <w:t>defence</w:t>
      </w:r>
      <w:proofErr w:type="spellEnd"/>
      <w:r w:rsidRPr="001D1E66">
        <w:rPr>
          <w:rFonts w:ascii="Times New Roman" w:hAnsi="Times New Roman" w:cs="Times New Roman"/>
          <w:szCs w:val="20"/>
        </w:rPr>
        <w:t xml:space="preserve"> of weighted capitation formulas still used by NHS England.)   The Home Office document is rightly concerned that its allocation formula should not provide the kind of perverse incentives that a formula would have if it were based directly on the output profile of a force.  The current Police Allocation Formula does appear to respect such concern.  Its complexity and subjectivity would be reduced if the socio-economic indicators were restricted to the five of the now-proposed model and it is just possible that, </w:t>
      </w:r>
      <w:r w:rsidRPr="001D1E66">
        <w:rPr>
          <w:rFonts w:ascii="Times New Roman" w:hAnsi="Times New Roman" w:cs="Times New Roman"/>
          <w:b/>
          <w:szCs w:val="20"/>
        </w:rPr>
        <w:t xml:space="preserve">if the force-by-force relationship of these to a reasonably exhaustive and distinct set of measurable outputs were </w:t>
      </w:r>
      <w:proofErr w:type="spellStart"/>
      <w:r w:rsidRPr="001D1E66">
        <w:rPr>
          <w:rFonts w:ascii="Times New Roman" w:hAnsi="Times New Roman" w:cs="Times New Roman"/>
          <w:b/>
          <w:szCs w:val="20"/>
        </w:rPr>
        <w:t>analysed</w:t>
      </w:r>
      <w:proofErr w:type="spellEnd"/>
      <w:r w:rsidRPr="001D1E66">
        <w:rPr>
          <w:rFonts w:ascii="Times New Roman" w:hAnsi="Times New Roman" w:cs="Times New Roman"/>
          <w:b/>
          <w:szCs w:val="20"/>
        </w:rPr>
        <w:t xml:space="preserve"> in a properly multivariate fashion, the results of the analysis could be made into a formula that would make some sort of bridge over the black hole of logic in the current proposal.</w:t>
      </w:r>
    </w:p>
    <w:p w:rsidR="001D1E66" w:rsidRDefault="001D1E66" w:rsidP="001D1E66">
      <w:pPr>
        <w:spacing w:line="360" w:lineRule="auto"/>
        <w:ind w:left="0"/>
        <w:rPr>
          <w:rFonts w:ascii="Times New Roman" w:hAnsi="Times New Roman" w:cs="Times New Roman"/>
          <w:i/>
          <w:szCs w:val="20"/>
        </w:rPr>
      </w:pPr>
    </w:p>
    <w:p w:rsidR="001D1E66" w:rsidRPr="001D1E66" w:rsidRDefault="001D1E66" w:rsidP="001D1E66">
      <w:pPr>
        <w:spacing w:line="360" w:lineRule="auto"/>
        <w:ind w:left="0"/>
        <w:rPr>
          <w:rFonts w:ascii="Times New Roman" w:hAnsi="Times New Roman" w:cs="Times New Roman"/>
          <w:szCs w:val="20"/>
        </w:rPr>
      </w:pPr>
      <w:r w:rsidRPr="001D1E66">
        <w:rPr>
          <w:rFonts w:ascii="Times New Roman" w:hAnsi="Times New Roman" w:cs="Times New Roman"/>
          <w:i/>
          <w:szCs w:val="20"/>
        </w:rPr>
        <w:t>Para. 7</w:t>
      </w:r>
      <w:r w:rsidRPr="001D1E66">
        <w:rPr>
          <w:rFonts w:ascii="Times New Roman" w:hAnsi="Times New Roman" w:cs="Times New Roman"/>
          <w:szCs w:val="20"/>
        </w:rPr>
        <w:t xml:space="preserve">:  Annex E could have referred to </w:t>
      </w:r>
      <w:r w:rsidRPr="001D1E66">
        <w:rPr>
          <w:rFonts w:ascii="Times New Roman" w:hAnsi="Times New Roman" w:cs="Times New Roman"/>
          <w:b/>
          <w:szCs w:val="20"/>
        </w:rPr>
        <w:t>recent critques</w:t>
      </w:r>
      <w:r w:rsidRPr="001D1E66">
        <w:rPr>
          <w:rFonts w:ascii="Times New Roman" w:hAnsi="Times New Roman" w:cs="Times New Roman"/>
          <w:b/>
          <w:szCs w:val="20"/>
          <w:vertAlign w:val="superscript"/>
        </w:rPr>
        <w:t>3</w:t>
      </w:r>
      <w:proofErr w:type="gramStart"/>
      <w:r w:rsidRPr="001D1E66">
        <w:rPr>
          <w:rFonts w:ascii="Times New Roman" w:hAnsi="Times New Roman" w:cs="Times New Roman"/>
          <w:b/>
          <w:szCs w:val="20"/>
          <w:vertAlign w:val="superscript"/>
        </w:rPr>
        <w:t>,4</w:t>
      </w:r>
      <w:proofErr w:type="gramEnd"/>
      <w:r w:rsidRPr="001D1E66">
        <w:rPr>
          <w:rFonts w:ascii="Times New Roman" w:hAnsi="Times New Roman" w:cs="Times New Roman"/>
          <w:b/>
          <w:szCs w:val="20"/>
        </w:rPr>
        <w:t xml:space="preserve"> of the Revenue Support Grant and Clinical Commissioning Group formulas</w:t>
      </w:r>
      <w:r w:rsidRPr="001D1E66">
        <w:rPr>
          <w:rFonts w:ascii="Times New Roman" w:hAnsi="Times New Roman" w:cs="Times New Roman"/>
          <w:szCs w:val="20"/>
        </w:rPr>
        <w:t>.  I fear that, if the outlined proposal were adopted and implemented, there would be a fresh round of ultimately futile contestation.</w:t>
      </w:r>
    </w:p>
    <w:p w:rsidR="001D1E66" w:rsidRPr="001D1E66" w:rsidRDefault="001D1E66" w:rsidP="001D1E66">
      <w:pPr>
        <w:autoSpaceDE w:val="0"/>
        <w:autoSpaceDN w:val="0"/>
        <w:adjustRightInd w:val="0"/>
        <w:spacing w:line="360" w:lineRule="auto"/>
        <w:ind w:left="0"/>
        <w:rPr>
          <w:rFonts w:ascii="Times New Roman" w:hAnsi="Times New Roman" w:cs="Times New Roman"/>
          <w:b/>
          <w:color w:val="202020"/>
          <w:szCs w:val="20"/>
        </w:rPr>
      </w:pPr>
    </w:p>
    <w:p w:rsidR="001D1E66" w:rsidRPr="001D1E66" w:rsidRDefault="001D1E66" w:rsidP="001D1E66">
      <w:pPr>
        <w:autoSpaceDE w:val="0"/>
        <w:autoSpaceDN w:val="0"/>
        <w:adjustRightInd w:val="0"/>
        <w:spacing w:line="360" w:lineRule="auto"/>
        <w:ind w:left="0"/>
        <w:rPr>
          <w:rFonts w:ascii="Times New Roman" w:hAnsi="Times New Roman" w:cs="Times New Roman"/>
          <w:b/>
          <w:color w:val="202020"/>
          <w:szCs w:val="20"/>
        </w:rPr>
      </w:pPr>
      <w:r w:rsidRPr="001D1E66">
        <w:rPr>
          <w:rFonts w:ascii="Times New Roman" w:hAnsi="Times New Roman" w:cs="Times New Roman"/>
          <w:b/>
          <w:color w:val="202020"/>
          <w:szCs w:val="20"/>
        </w:rPr>
        <w:t>References in the contribution to the discussion</w:t>
      </w:r>
    </w:p>
    <w:p w:rsidR="001D1E66" w:rsidRPr="001D1E66" w:rsidRDefault="001D1E66" w:rsidP="001D1E66">
      <w:pPr>
        <w:spacing w:line="360" w:lineRule="auto"/>
        <w:ind w:left="0"/>
        <w:contextualSpacing/>
        <w:rPr>
          <w:rFonts w:ascii="Times New Roman" w:hAnsi="Times New Roman" w:cs="Times New Roman"/>
          <w:i/>
          <w:szCs w:val="20"/>
        </w:rPr>
      </w:pPr>
      <w:r w:rsidRPr="001D1E66">
        <w:rPr>
          <w:rFonts w:ascii="Times New Roman" w:hAnsi="Times New Roman" w:cs="Times New Roman"/>
          <w:szCs w:val="20"/>
        </w:rPr>
        <w:t xml:space="preserve">1. </w:t>
      </w:r>
      <w:r w:rsidRPr="001D1E66">
        <w:rPr>
          <w:rFonts w:ascii="Times New Roman" w:hAnsi="Times New Roman" w:cs="Times New Roman"/>
          <w:szCs w:val="20"/>
          <w:vertAlign w:val="superscript"/>
        </w:rPr>
        <w:t xml:space="preserve"> </w:t>
      </w:r>
      <w:r w:rsidRPr="001D1E66">
        <w:rPr>
          <w:rFonts w:ascii="Times New Roman" w:hAnsi="Times New Roman" w:cs="Times New Roman"/>
          <w:szCs w:val="20"/>
        </w:rPr>
        <w:t>Stone, M (2002)</w:t>
      </w:r>
      <w:proofErr w:type="gramStart"/>
      <w:r w:rsidRPr="001D1E66">
        <w:rPr>
          <w:rFonts w:ascii="Times New Roman" w:hAnsi="Times New Roman" w:cs="Times New Roman"/>
          <w:szCs w:val="20"/>
        </w:rPr>
        <w:t>,  How</w:t>
      </w:r>
      <w:proofErr w:type="gramEnd"/>
      <w:r w:rsidRPr="001D1E66">
        <w:rPr>
          <w:rFonts w:ascii="Times New Roman" w:hAnsi="Times New Roman" w:cs="Times New Roman"/>
          <w:szCs w:val="20"/>
        </w:rPr>
        <w:t xml:space="preserve"> not to measure the efficiency of public services (with Discussion).  </w:t>
      </w:r>
      <w:r w:rsidRPr="001D1E66">
        <w:rPr>
          <w:rFonts w:ascii="Times New Roman" w:hAnsi="Times New Roman" w:cs="Times New Roman"/>
          <w:i/>
          <w:szCs w:val="20"/>
        </w:rPr>
        <w:t xml:space="preserve">Journal of the Royal Statistical Society, Series </w:t>
      </w:r>
      <w:r w:rsidRPr="001D1E66">
        <w:rPr>
          <w:rFonts w:ascii="Times New Roman" w:hAnsi="Times New Roman" w:cs="Times New Roman"/>
          <w:szCs w:val="20"/>
        </w:rPr>
        <w:t>B</w:t>
      </w:r>
      <w:proofErr w:type="gramStart"/>
      <w:r w:rsidRPr="001D1E66">
        <w:rPr>
          <w:rFonts w:ascii="Times New Roman" w:hAnsi="Times New Roman" w:cs="Times New Roman"/>
          <w:szCs w:val="20"/>
        </w:rPr>
        <w:t>,  vol</w:t>
      </w:r>
      <w:proofErr w:type="gramEnd"/>
      <w:r w:rsidRPr="001D1E66">
        <w:rPr>
          <w:rFonts w:ascii="Times New Roman" w:hAnsi="Times New Roman" w:cs="Times New Roman"/>
          <w:szCs w:val="20"/>
        </w:rPr>
        <w:t>. 165.</w:t>
      </w:r>
      <w:r w:rsidRPr="001D1E66">
        <w:rPr>
          <w:rFonts w:ascii="Times New Roman" w:hAnsi="Times New Roman" w:cs="Times New Roman"/>
          <w:i/>
          <w:szCs w:val="20"/>
        </w:rPr>
        <w:t xml:space="preserve"> </w:t>
      </w:r>
    </w:p>
    <w:p w:rsidR="001D1E66" w:rsidRPr="001D1E66" w:rsidRDefault="001D1E66" w:rsidP="001D1E66">
      <w:pPr>
        <w:autoSpaceDE w:val="0"/>
        <w:autoSpaceDN w:val="0"/>
        <w:adjustRightInd w:val="0"/>
        <w:spacing w:line="360" w:lineRule="auto"/>
        <w:ind w:left="0"/>
        <w:contextualSpacing/>
        <w:rPr>
          <w:rFonts w:ascii="Times New Roman" w:hAnsi="Times New Roman" w:cs="Times New Roman"/>
          <w:i/>
          <w:iCs/>
          <w:color w:val="202020"/>
          <w:szCs w:val="20"/>
        </w:rPr>
      </w:pPr>
      <w:r w:rsidRPr="001D1E66">
        <w:rPr>
          <w:rFonts w:ascii="Times New Roman" w:hAnsi="Times New Roman" w:cs="Times New Roman"/>
          <w:color w:val="202020"/>
          <w:szCs w:val="20"/>
        </w:rPr>
        <w:t>2.  Stone, M (2009)</w:t>
      </w:r>
      <w:proofErr w:type="gramStart"/>
      <w:r w:rsidRPr="001D1E66">
        <w:rPr>
          <w:rFonts w:ascii="Times New Roman" w:hAnsi="Times New Roman" w:cs="Times New Roman"/>
          <w:color w:val="202020"/>
          <w:szCs w:val="20"/>
        </w:rPr>
        <w:t xml:space="preserve">,  </w:t>
      </w:r>
      <w:r w:rsidRPr="001D1E66">
        <w:rPr>
          <w:rFonts w:ascii="Times New Roman" w:hAnsi="Times New Roman" w:cs="Times New Roman"/>
          <w:i/>
          <w:iCs/>
          <w:color w:val="202020"/>
          <w:szCs w:val="20"/>
        </w:rPr>
        <w:t>Failing</w:t>
      </w:r>
      <w:proofErr w:type="gramEnd"/>
      <w:r w:rsidRPr="001D1E66">
        <w:rPr>
          <w:rFonts w:ascii="Times New Roman" w:hAnsi="Times New Roman" w:cs="Times New Roman"/>
          <w:i/>
          <w:iCs/>
          <w:color w:val="202020"/>
          <w:szCs w:val="20"/>
        </w:rPr>
        <w:t xml:space="preserve"> to Figure: Whitehall’s Costly Neglect of Statistical Reasoning</w:t>
      </w:r>
      <w:r w:rsidRPr="001D1E66">
        <w:rPr>
          <w:rFonts w:ascii="Times New Roman" w:hAnsi="Times New Roman" w:cs="Times New Roman"/>
          <w:iCs/>
          <w:color w:val="202020"/>
          <w:szCs w:val="20"/>
        </w:rPr>
        <w:t xml:space="preserve"> </w:t>
      </w:r>
      <w:r w:rsidRPr="001D1E66">
        <w:rPr>
          <w:rFonts w:ascii="Times New Roman" w:hAnsi="Times New Roman" w:cs="Times New Roman"/>
          <w:i/>
          <w:iCs/>
          <w:color w:val="202020"/>
          <w:szCs w:val="20"/>
        </w:rPr>
        <w:t xml:space="preserve"> </w:t>
      </w:r>
      <w:r w:rsidRPr="001D1E66">
        <w:rPr>
          <w:rFonts w:ascii="Times New Roman" w:hAnsi="Times New Roman" w:cs="Times New Roman"/>
          <w:color w:val="202020"/>
          <w:szCs w:val="20"/>
        </w:rPr>
        <w:t>(</w:t>
      </w:r>
      <w:proofErr w:type="spellStart"/>
      <w:r w:rsidRPr="001D1E66">
        <w:rPr>
          <w:rFonts w:ascii="Times New Roman" w:hAnsi="Times New Roman" w:cs="Times New Roman"/>
          <w:color w:val="202020"/>
          <w:szCs w:val="20"/>
        </w:rPr>
        <w:t>Civitas</w:t>
      </w:r>
      <w:proofErr w:type="spellEnd"/>
      <w:r w:rsidRPr="001D1E66">
        <w:rPr>
          <w:rFonts w:ascii="Times New Roman" w:hAnsi="Times New Roman" w:cs="Times New Roman"/>
          <w:color w:val="202020"/>
          <w:szCs w:val="20"/>
        </w:rPr>
        <w:t xml:space="preserve"> book).</w:t>
      </w:r>
    </w:p>
    <w:p w:rsidR="001D1E66" w:rsidRPr="001D1E66" w:rsidRDefault="001D1E66" w:rsidP="001D1E66">
      <w:pPr>
        <w:autoSpaceDE w:val="0"/>
        <w:autoSpaceDN w:val="0"/>
        <w:adjustRightInd w:val="0"/>
        <w:spacing w:line="360" w:lineRule="auto"/>
        <w:ind w:left="0"/>
        <w:contextualSpacing/>
        <w:rPr>
          <w:rFonts w:ascii="Times New Roman" w:hAnsi="Times New Roman" w:cs="Times New Roman"/>
          <w:szCs w:val="20"/>
        </w:rPr>
      </w:pPr>
      <w:r w:rsidRPr="001D1E66">
        <w:rPr>
          <w:rFonts w:ascii="Times New Roman" w:hAnsi="Times New Roman" w:cs="Times New Roman"/>
          <w:szCs w:val="20"/>
        </w:rPr>
        <w:t>3.  Stone, M (2012)</w:t>
      </w:r>
      <w:proofErr w:type="gramStart"/>
      <w:r w:rsidRPr="001D1E66">
        <w:rPr>
          <w:rFonts w:ascii="Times New Roman" w:hAnsi="Times New Roman" w:cs="Times New Roman"/>
          <w:szCs w:val="20"/>
        </w:rPr>
        <w:t>,  Getting</w:t>
      </w:r>
      <w:proofErr w:type="gramEnd"/>
      <w:r w:rsidRPr="001D1E66">
        <w:rPr>
          <w:rFonts w:ascii="Times New Roman" w:hAnsi="Times New Roman" w:cs="Times New Roman"/>
          <w:szCs w:val="20"/>
        </w:rPr>
        <w:t xml:space="preserve"> to grips with England’s formula for local authority support.  </w:t>
      </w:r>
      <w:proofErr w:type="gramStart"/>
      <w:r w:rsidRPr="001D1E66">
        <w:rPr>
          <w:rFonts w:ascii="Times New Roman" w:hAnsi="Times New Roman" w:cs="Times New Roman"/>
          <w:szCs w:val="20"/>
        </w:rPr>
        <w:t xml:space="preserve">March 2012 issue of </w:t>
      </w:r>
      <w:r w:rsidRPr="001D1E66">
        <w:rPr>
          <w:rFonts w:ascii="Times New Roman" w:hAnsi="Times New Roman" w:cs="Times New Roman"/>
          <w:i/>
          <w:szCs w:val="20"/>
        </w:rPr>
        <w:t>Public Money &amp; Management</w:t>
      </w:r>
      <w:r w:rsidRPr="001D1E66">
        <w:rPr>
          <w:rFonts w:ascii="Times New Roman" w:hAnsi="Times New Roman" w:cs="Times New Roman"/>
          <w:szCs w:val="20"/>
        </w:rPr>
        <w:t>.</w:t>
      </w:r>
      <w:proofErr w:type="gramEnd"/>
    </w:p>
    <w:p w:rsidR="001D1E66" w:rsidRPr="001D1E66" w:rsidRDefault="001D1E66" w:rsidP="001D1E66">
      <w:pPr>
        <w:autoSpaceDE w:val="0"/>
        <w:autoSpaceDN w:val="0"/>
        <w:adjustRightInd w:val="0"/>
        <w:spacing w:line="360" w:lineRule="auto"/>
        <w:ind w:left="0"/>
        <w:contextualSpacing/>
        <w:rPr>
          <w:rFonts w:ascii="Times New Roman" w:hAnsi="Times New Roman" w:cs="Times New Roman"/>
          <w:iCs/>
          <w:color w:val="202020"/>
          <w:szCs w:val="20"/>
        </w:rPr>
      </w:pPr>
      <w:r w:rsidRPr="001D1E66">
        <w:rPr>
          <w:rFonts w:ascii="Times New Roman" w:hAnsi="Times New Roman" w:cs="Times New Roman"/>
          <w:szCs w:val="20"/>
        </w:rPr>
        <w:t>4.  Stone, M (2015)</w:t>
      </w:r>
      <w:proofErr w:type="gramStart"/>
      <w:r w:rsidRPr="001D1E66">
        <w:rPr>
          <w:rFonts w:ascii="Times New Roman" w:hAnsi="Times New Roman" w:cs="Times New Roman"/>
          <w:szCs w:val="20"/>
        </w:rPr>
        <w:t>,  New</w:t>
      </w:r>
      <w:proofErr w:type="gramEnd"/>
      <w:r w:rsidRPr="001D1E66">
        <w:rPr>
          <w:rFonts w:ascii="Times New Roman" w:hAnsi="Times New Roman" w:cs="Times New Roman"/>
          <w:szCs w:val="20"/>
        </w:rPr>
        <w:t xml:space="preserve"> development:  the remarkable insignificance of NHS England’s CCG funding formula. </w:t>
      </w:r>
      <w:proofErr w:type="gramStart"/>
      <w:r w:rsidRPr="001D1E66">
        <w:rPr>
          <w:rFonts w:ascii="Times New Roman" w:hAnsi="Times New Roman" w:cs="Times New Roman"/>
          <w:szCs w:val="20"/>
        </w:rPr>
        <w:t xml:space="preserve">July 2015 issue of </w:t>
      </w:r>
      <w:r w:rsidRPr="001D1E66">
        <w:rPr>
          <w:rFonts w:ascii="Times New Roman" w:hAnsi="Times New Roman" w:cs="Times New Roman"/>
          <w:i/>
          <w:szCs w:val="20"/>
        </w:rPr>
        <w:t>Public Money &amp; Management</w:t>
      </w:r>
      <w:r w:rsidRPr="001D1E66">
        <w:rPr>
          <w:rFonts w:ascii="Times New Roman" w:hAnsi="Times New Roman" w:cs="Times New Roman"/>
          <w:szCs w:val="20"/>
        </w:rPr>
        <w:t>.</w:t>
      </w:r>
      <w:proofErr w:type="gramEnd"/>
    </w:p>
    <w:p w:rsidR="001D1E66" w:rsidRPr="001D1E66" w:rsidRDefault="001D1E66" w:rsidP="001D1E66">
      <w:pPr>
        <w:autoSpaceDE w:val="0"/>
        <w:autoSpaceDN w:val="0"/>
        <w:adjustRightInd w:val="0"/>
        <w:ind w:left="0"/>
        <w:contextualSpacing/>
        <w:jc w:val="left"/>
        <w:rPr>
          <w:rFonts w:ascii="Times New Roman" w:hAnsi="Times New Roman" w:cs="Times New Roman"/>
          <w:iCs/>
          <w:color w:val="202020"/>
          <w:szCs w:val="20"/>
        </w:rPr>
      </w:pPr>
    </w:p>
    <w:p w:rsidR="00FD2E04" w:rsidRPr="001D1E66" w:rsidRDefault="001D1E66"/>
    <w:sectPr w:rsidR="00FD2E04" w:rsidRPr="001D1E66" w:rsidSect="004C70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1E66"/>
    <w:rsid w:val="001D1E66"/>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66"/>
    <w:pPr>
      <w:ind w:left="284"/>
      <w:jc w:val="both"/>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D1E66"/>
    <w:pPr>
      <w:autoSpaceDE w:val="0"/>
      <w:autoSpaceDN w:val="0"/>
      <w:adjustRightInd w:val="0"/>
      <w:ind w:left="284"/>
      <w:jc w:val="both"/>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5322</Characters>
  <Application>Microsoft Macintosh Word</Application>
  <DocSecurity>0</DocSecurity>
  <Lines>90</Lines>
  <Paragraphs>18</Paragraphs>
  <ScaleCrop>false</ScaleCrop>
  <Company>Redactive Media Group</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Russell</dc:creator>
  <cp:keywords/>
  <cp:lastModifiedBy>Vivienne Russell</cp:lastModifiedBy>
  <cp:revision>1</cp:revision>
  <dcterms:created xsi:type="dcterms:W3CDTF">2015-11-09T11:49:00Z</dcterms:created>
  <dcterms:modified xsi:type="dcterms:W3CDTF">2015-11-09T11:51:00Z</dcterms:modified>
</cp:coreProperties>
</file>